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AE0" w:rsidRDefault="00122AE0" w:rsidP="00122AE0">
      <w:pPr>
        <w:pStyle w:val="Text"/>
        <w:ind w:firstLine="420"/>
      </w:pPr>
    </w:p>
    <w:p w:rsidR="00122AE0" w:rsidRDefault="00122AE0" w:rsidP="00122AE0">
      <w:pPr>
        <w:pStyle w:val="Figure"/>
      </w:pPr>
      <w:r w:rsidRPr="00122AE0">
        <w:drawing>
          <wp:inline distT="0" distB="0" distL="114300" distR="114300" wp14:anchorId="1FC73A94" wp14:editId="391F0C0B">
            <wp:extent cx="5266690" cy="7121525"/>
            <wp:effectExtent l="0" t="0" r="16510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12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2AE0" w:rsidRDefault="00122AE0" w:rsidP="00122AE0">
      <w:pPr>
        <w:pStyle w:val="Figurecaption"/>
      </w:pPr>
      <w:r w:rsidRPr="00DF5642">
        <w:rPr>
          <w:b/>
        </w:rPr>
        <w:t>Supplementary</w:t>
      </w:r>
      <w:r w:rsidRPr="00DF5642">
        <w:rPr>
          <w:rFonts w:hint="eastAsia"/>
          <w:b/>
        </w:rPr>
        <w:t xml:space="preserve"> </w:t>
      </w:r>
      <w:r w:rsidRPr="00DF5642">
        <w:rPr>
          <w:rStyle w:val="a5"/>
          <w:rFonts w:ascii="Times New Roman Bold" w:hAnsi="Times New Roman Bold" w:cs="Times New Roman Bold"/>
          <w:b w:val="0"/>
        </w:rPr>
        <w:t>Fig</w:t>
      </w:r>
      <w:r>
        <w:rPr>
          <w:rStyle w:val="a5"/>
          <w:rFonts w:ascii="Times New Roman Bold" w:hAnsi="Times New Roman Bold" w:cs="Times New Roman Bold"/>
          <w:b w:val="0"/>
        </w:rPr>
        <w:t>.</w:t>
      </w:r>
      <w:r w:rsidRPr="00DF5642">
        <w:rPr>
          <w:rStyle w:val="a5"/>
          <w:rFonts w:ascii="Times New Roman Bold" w:hAnsi="Times New Roman Bold" w:cs="Times New Roman Bold"/>
          <w:b w:val="0"/>
        </w:rPr>
        <w:t xml:space="preserve"> 1. Risk factors for poor prognosis in patients with glioblastoma (GBM, n</w:t>
      </w:r>
      <w:r>
        <w:rPr>
          <w:rStyle w:val="a5"/>
          <w:rFonts w:ascii="Times New Roman Bold" w:hAnsi="Times New Roman Bold" w:cs="Times New Roman Bold"/>
          <w:b w:val="0"/>
        </w:rPr>
        <w:t xml:space="preserve"> </w:t>
      </w:r>
      <w:r w:rsidRPr="00DF5642">
        <w:rPr>
          <w:rStyle w:val="a5"/>
          <w:rFonts w:ascii="Times New Roman Bold" w:hAnsi="Times New Roman Bold" w:cs="Times New Roman Bold"/>
          <w:b w:val="0"/>
        </w:rPr>
        <w:t>=</w:t>
      </w:r>
      <w:r>
        <w:rPr>
          <w:rStyle w:val="a5"/>
          <w:rFonts w:ascii="Times New Roman Bold" w:hAnsi="Times New Roman Bold" w:cs="Times New Roman Bold"/>
          <w:b w:val="0"/>
        </w:rPr>
        <w:t xml:space="preserve"> </w:t>
      </w:r>
      <w:r w:rsidRPr="00DF5642">
        <w:rPr>
          <w:rStyle w:val="a5"/>
          <w:rFonts w:ascii="Times New Roman Bold" w:hAnsi="Times New Roman Bold" w:cs="Times New Roman Bold"/>
          <w:b w:val="0"/>
        </w:rPr>
        <w:t>64).</w:t>
      </w:r>
      <w:r>
        <w:rPr>
          <w:rStyle w:val="a5"/>
          <w:rFonts w:ascii="Times New Roman Bold" w:hAnsi="Times New Roman Bold" w:cs="Times New Roman Bold"/>
          <w:b w:val="0"/>
          <w:bCs/>
        </w:rPr>
        <w:t xml:space="preserve"> </w:t>
      </w:r>
      <w:r>
        <w:t>(</w:t>
      </w:r>
      <w:proofErr w:type="gramStart"/>
      <w:r>
        <w:t>A</w:t>
      </w:r>
      <w:r>
        <w:t>,</w:t>
      </w:r>
      <w:r>
        <w:t>B</w:t>
      </w:r>
      <w:proofErr w:type="gramEnd"/>
      <w:r>
        <w:t>) T</w:t>
      </w:r>
      <w:r>
        <w:rPr>
          <w:rFonts w:hint="eastAsia"/>
        </w:rPr>
        <w:t>he outcomes of the</w:t>
      </w:r>
      <w:r>
        <w:t xml:space="preserve"> Cox regression analysis </w:t>
      </w:r>
      <w:r>
        <w:rPr>
          <w:rFonts w:hint="eastAsia"/>
        </w:rPr>
        <w:t>for overall survival (OS</w:t>
      </w:r>
      <w:r>
        <w:t>, A</w:t>
      </w:r>
      <w:r>
        <w:rPr>
          <w:rFonts w:hint="eastAsia"/>
        </w:rPr>
        <w:t>) and disease-free survival (DFS</w:t>
      </w:r>
      <w:r>
        <w:t>, B</w:t>
      </w:r>
      <w:r>
        <w:rPr>
          <w:rFonts w:hint="eastAsia"/>
        </w:rPr>
        <w:t>) in glioblastoma (GBM) patients, incorporating key prognostic factors such as</w:t>
      </w:r>
      <w:r>
        <w:t xml:space="preserve"> age, gender, IDH mutation, and </w:t>
      </w:r>
      <w:proofErr w:type="spellStart"/>
      <w:r>
        <w:t>EGFRvIII</w:t>
      </w:r>
      <w:proofErr w:type="spellEnd"/>
      <w:r>
        <w:t xml:space="preserve"> mutation. (</w:t>
      </w:r>
      <w:proofErr w:type="gramStart"/>
      <w:r>
        <w:t>C</w:t>
      </w:r>
      <w:r>
        <w:t>,</w:t>
      </w:r>
      <w:r>
        <w:t>D</w:t>
      </w:r>
      <w:proofErr w:type="gramEnd"/>
      <w:r>
        <w:t xml:space="preserve">) Impact of </w:t>
      </w:r>
      <w:proofErr w:type="spellStart"/>
      <w:r>
        <w:t>EGFRvIII</w:t>
      </w:r>
      <w:proofErr w:type="spellEnd"/>
      <w:r>
        <w:t xml:space="preserve"> mutation on OS (C) and DFS (D) in GBM patients. </w:t>
      </w:r>
      <w:proofErr w:type="spellStart"/>
      <w:r>
        <w:t>EGFRvIII</w:t>
      </w:r>
      <w:proofErr w:type="spellEnd"/>
      <w:r>
        <w:t xml:space="preserve">=1 indicates patients with </w:t>
      </w:r>
      <w:proofErr w:type="spellStart"/>
      <w:r>
        <w:t>EGFRvIII</w:t>
      </w:r>
      <w:proofErr w:type="spellEnd"/>
      <w:r>
        <w:t xml:space="preserve">-positive GBM; </w:t>
      </w:r>
      <w:proofErr w:type="spellStart"/>
      <w:r>
        <w:t>EGFRvIII</w:t>
      </w:r>
      <w:proofErr w:type="spellEnd"/>
      <w:r>
        <w:t xml:space="preserve"> </w:t>
      </w:r>
      <w:r>
        <w:t>=</w:t>
      </w:r>
      <w:r>
        <w:t xml:space="preserve"> </w:t>
      </w:r>
      <w:r>
        <w:t>0 indicates patients with non-</w:t>
      </w:r>
      <w:proofErr w:type="spellStart"/>
      <w:r>
        <w:t>EGFRvIII</w:t>
      </w:r>
      <w:proofErr w:type="spellEnd"/>
      <w:r>
        <w:t xml:space="preserve"> GBM.</w:t>
      </w:r>
    </w:p>
    <w:p w:rsidR="00A73E39" w:rsidRDefault="00A73E39">
      <w:pPr>
        <w:ind w:firstLine="420"/>
        <w:rPr>
          <w:rFonts w:eastAsiaTheme="minorEastAsia"/>
        </w:rPr>
      </w:pPr>
    </w:p>
    <w:p w:rsidR="00122AE0" w:rsidRDefault="00122AE0" w:rsidP="00122AE0">
      <w:pPr>
        <w:pStyle w:val="Figure"/>
        <w:rPr>
          <w:rFonts w:ascii="Times New Roman Regular" w:hAnsi="Times New Roman Regular" w:cs="Times New Roman Regular"/>
        </w:rPr>
      </w:pPr>
      <w:r w:rsidRPr="00122AE0">
        <w:lastRenderedPageBreak/>
        <w:drawing>
          <wp:inline distT="0" distB="0" distL="114300" distR="114300" wp14:anchorId="5A50C0B6" wp14:editId="66FDF4E6">
            <wp:extent cx="5269230" cy="5121275"/>
            <wp:effectExtent l="0" t="0" r="0" b="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rcRect b="1361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12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2AE0" w:rsidRDefault="00122AE0" w:rsidP="00122AE0">
      <w:pPr>
        <w:pStyle w:val="Figurecaption"/>
      </w:pPr>
      <w:r>
        <w:rPr>
          <w:rFonts w:ascii="Times New Roman Bold" w:hAnsi="Times New Roman Bold" w:cs="Times New Roman Bold" w:hint="eastAsia"/>
          <w:b/>
          <w:bCs/>
        </w:rPr>
        <w:t xml:space="preserve">Supplementary </w:t>
      </w:r>
      <w:r>
        <w:rPr>
          <w:rFonts w:ascii="Times New Roman Bold" w:hAnsi="Times New Roman Bold" w:cs="Times New Roman Bold"/>
          <w:b/>
          <w:bCs/>
        </w:rPr>
        <w:t>Fig</w:t>
      </w:r>
      <w:r>
        <w:rPr>
          <w:rFonts w:ascii="Times New Roman Bold" w:hAnsi="Times New Roman Bold" w:cs="Times New Roman Bold"/>
          <w:b/>
          <w:bCs/>
        </w:rPr>
        <w:t>.</w:t>
      </w:r>
      <w:r>
        <w:rPr>
          <w:rFonts w:ascii="Times New Roman Bold" w:hAnsi="Times New Roman Bold" w:cs="Times New Roman Bold"/>
          <w:b/>
          <w:bCs/>
        </w:rPr>
        <w:t xml:space="preserve"> </w:t>
      </w:r>
      <w:r>
        <w:rPr>
          <w:rFonts w:ascii="Times New Roman Bold" w:hAnsi="Times New Roman Bold" w:cs="Times New Roman Bold" w:hint="eastAsia"/>
          <w:b/>
          <w:bCs/>
        </w:rPr>
        <w:t>2</w:t>
      </w:r>
      <w:r>
        <w:rPr>
          <w:rFonts w:ascii="Times New Roman Bold" w:hAnsi="Times New Roman Bold" w:cs="Times New Roman Bold"/>
          <w:b/>
          <w:bCs/>
        </w:rPr>
        <w:t xml:space="preserve">. Changes in m6A enrichment in </w:t>
      </w:r>
      <w:proofErr w:type="spellStart"/>
      <w:r>
        <w:rPr>
          <w:rFonts w:ascii="Times New Roman Bold" w:hAnsi="Times New Roman Bold" w:cs="Times New Roman Bold"/>
          <w:b/>
          <w:bCs/>
        </w:rPr>
        <w:t>temozolomide</w:t>
      </w:r>
      <w:proofErr w:type="spellEnd"/>
      <w:r>
        <w:rPr>
          <w:rFonts w:ascii="Times New Roman Bold" w:hAnsi="Times New Roman Bold" w:cs="Times New Roman Bold"/>
          <w:b/>
          <w:bCs/>
        </w:rPr>
        <w:t xml:space="preserve"> (TMZ)-resistant </w:t>
      </w:r>
      <w:proofErr w:type="spellStart"/>
      <w:r>
        <w:rPr>
          <w:rFonts w:ascii="Times New Roman Bold" w:hAnsi="Times New Roman Bold" w:cs="Times New Roman Bold"/>
          <w:b/>
          <w:bCs/>
        </w:rPr>
        <w:t>EGFRvIII</w:t>
      </w:r>
      <w:proofErr w:type="spellEnd"/>
      <w:r>
        <w:rPr>
          <w:rFonts w:ascii="Times New Roman Bold" w:hAnsi="Times New Roman Bold" w:cs="Times New Roman Bold"/>
          <w:b/>
          <w:bCs/>
        </w:rPr>
        <w:t xml:space="preserve"> glioblastoma (GBM) stem cells. </w:t>
      </w:r>
      <w:r>
        <w:t>(A</w:t>
      </w:r>
      <w:r>
        <w:t>–</w:t>
      </w:r>
      <w:r>
        <w:t>C) Changes and differences in m6A-related biological process variation scores in GBM stem cells in GSE140441 (A), cancer stem cells in GSE249544 (B), and post-cancer stem cells after serum-induced differentiation in GSE249544 (C). Green indicates a significant decrease in variant differentiation, red indicates a significant increase, and gray indicates no significant difference.</w:t>
      </w:r>
    </w:p>
    <w:p w:rsidR="00122AE0" w:rsidRDefault="00122AE0" w:rsidP="00122AE0">
      <w:pPr>
        <w:pStyle w:val="Text"/>
        <w:ind w:firstLine="420"/>
      </w:pPr>
    </w:p>
    <w:p w:rsidR="00122AE0" w:rsidRDefault="00122AE0" w:rsidP="00122AE0">
      <w:pPr>
        <w:pStyle w:val="Text"/>
        <w:ind w:firstLine="420"/>
      </w:pPr>
    </w:p>
    <w:p w:rsidR="00122AE0" w:rsidRDefault="00122AE0" w:rsidP="00122AE0">
      <w:pPr>
        <w:pStyle w:val="Figure"/>
        <w:rPr>
          <w:rFonts w:ascii="Times New Roman Regular" w:hAnsi="Times New Roman Regular" w:cs="Times New Roman Regular"/>
        </w:rPr>
      </w:pPr>
      <w:r w:rsidRPr="00122AE0">
        <w:lastRenderedPageBreak/>
        <w:drawing>
          <wp:inline distT="0" distB="0" distL="114300" distR="114300" wp14:anchorId="37A8F791" wp14:editId="682E519C">
            <wp:extent cx="5266690" cy="3072130"/>
            <wp:effectExtent l="0" t="0" r="16510" b="0"/>
            <wp:docPr id="66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5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07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2AE0" w:rsidRDefault="00122AE0" w:rsidP="00122AE0">
      <w:pPr>
        <w:pStyle w:val="Figurecaption"/>
      </w:pPr>
      <w:r>
        <w:rPr>
          <w:rFonts w:ascii="Times New Roman Bold" w:hAnsi="Times New Roman Bold" w:cs="Times New Roman Bold" w:hint="eastAsia"/>
          <w:b/>
          <w:bCs/>
        </w:rPr>
        <w:t xml:space="preserve">Supplementary </w:t>
      </w:r>
      <w:r>
        <w:rPr>
          <w:rFonts w:ascii="Times New Roman Bold" w:hAnsi="Times New Roman Bold" w:cs="Times New Roman Bold"/>
          <w:b/>
          <w:bCs/>
        </w:rPr>
        <w:t>Fig</w:t>
      </w:r>
      <w:r>
        <w:rPr>
          <w:rFonts w:ascii="Times New Roman Bold" w:hAnsi="Times New Roman Bold" w:cs="Times New Roman Bold"/>
          <w:b/>
          <w:bCs/>
        </w:rPr>
        <w:t>.</w:t>
      </w:r>
      <w:r>
        <w:rPr>
          <w:rFonts w:ascii="Times New Roman Bold" w:hAnsi="Times New Roman Bold" w:cs="Times New Roman Bold"/>
          <w:b/>
          <w:bCs/>
        </w:rPr>
        <w:t xml:space="preserve"> </w:t>
      </w:r>
      <w:r>
        <w:rPr>
          <w:rFonts w:ascii="Times New Roman Bold" w:hAnsi="Times New Roman Bold" w:cs="Times New Roman Bold" w:hint="eastAsia"/>
          <w:b/>
          <w:bCs/>
        </w:rPr>
        <w:t>3</w:t>
      </w:r>
      <w:r>
        <w:rPr>
          <w:rFonts w:ascii="Times New Roman Bold" w:hAnsi="Times New Roman Bold" w:cs="Times New Roman Bold"/>
          <w:b/>
          <w:bCs/>
        </w:rPr>
        <w:t xml:space="preserve">. Changes in m6A methylation score in </w:t>
      </w:r>
      <w:proofErr w:type="spellStart"/>
      <w:r>
        <w:rPr>
          <w:rFonts w:ascii="Times New Roman Bold" w:hAnsi="Times New Roman Bold" w:cs="Times New Roman Bold"/>
          <w:b/>
          <w:bCs/>
        </w:rPr>
        <w:t>temozolomide</w:t>
      </w:r>
      <w:proofErr w:type="spellEnd"/>
      <w:r>
        <w:rPr>
          <w:rFonts w:ascii="Times New Roman Bold" w:hAnsi="Times New Roman Bold" w:cs="Times New Roman Bold"/>
          <w:b/>
          <w:bCs/>
        </w:rPr>
        <w:t xml:space="preserve"> (TMZ)-resistant glioblastoma (GBM) stem cells. </w:t>
      </w:r>
      <w:r>
        <w:t>(</w:t>
      </w:r>
      <w:proofErr w:type="gramStart"/>
      <w:r>
        <w:t>A</w:t>
      </w:r>
      <w:r>
        <w:t>,</w:t>
      </w:r>
      <w:r>
        <w:t>B</w:t>
      </w:r>
      <w:proofErr w:type="gramEnd"/>
      <w:r>
        <w:t xml:space="preserve">) Differences in m6A methylation scores between TMZ-resistant and sensitive GBM stem cells (including </w:t>
      </w:r>
      <w:r>
        <w:rPr>
          <w:rFonts w:ascii="Times New Roman Italic" w:hAnsi="Times New Roman Italic" w:cs="Times New Roman Italic"/>
          <w:i/>
          <w:iCs/>
        </w:rPr>
        <w:t>EGFR</w:t>
      </w:r>
      <w:r>
        <w:t xml:space="preserve"> wild-type and </w:t>
      </w:r>
      <w:proofErr w:type="spellStart"/>
      <w:r>
        <w:t>vIII</w:t>
      </w:r>
      <w:proofErr w:type="spellEnd"/>
      <w:r>
        <w:t xml:space="preserve"> mutant) in GSE140441 (A) and GSE249544 (B) datasets. Ns represents </w:t>
      </w:r>
      <w:r>
        <w:rPr>
          <w:i/>
        </w:rPr>
        <w:t>p</w:t>
      </w:r>
      <w:r>
        <w:t xml:space="preserve"> &gt; 0</w:t>
      </w:r>
      <w:r>
        <w:t xml:space="preserve">.05; *, ** represent </w:t>
      </w:r>
      <w:r>
        <w:rPr>
          <w:i/>
        </w:rPr>
        <w:t>p</w:t>
      </w:r>
      <w:r>
        <w:t xml:space="preserve"> &lt; 0.05 and </w:t>
      </w:r>
      <w:r>
        <w:rPr>
          <w:i/>
        </w:rPr>
        <w:t>p</w:t>
      </w:r>
      <w:r>
        <w:t xml:space="preserve"> </w:t>
      </w:r>
      <w:r>
        <w:t>&lt; 0.01, respectively.</w:t>
      </w:r>
    </w:p>
    <w:p w:rsidR="00122AE0" w:rsidRPr="00122AE0" w:rsidRDefault="00122AE0">
      <w:pPr>
        <w:ind w:firstLine="420"/>
        <w:rPr>
          <w:rFonts w:eastAsiaTheme="minorEastAsia" w:hint="eastAsia"/>
        </w:rPr>
      </w:pPr>
      <w:bookmarkStart w:id="0" w:name="_GoBack"/>
      <w:bookmarkEnd w:id="0"/>
    </w:p>
    <w:sectPr w:rsidR="00122AE0" w:rsidRPr="00122AE0" w:rsidSect="00122AE0">
      <w:pgSz w:w="11906" w:h="16838"/>
      <w:pgMar w:top="1134" w:right="851" w:bottom="1134" w:left="85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NimbusRomNo9L">
    <w:altName w:val="Times New Roman"/>
    <w:charset w:val="00"/>
    <w:family w:val="auto"/>
    <w:pitch w:val="default"/>
    <w:sig w:usb0="00000000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panose1 w:val="02020803070505020304"/>
    <w:charset w:val="00"/>
    <w:family w:val="roman"/>
    <w:pitch w:val="default"/>
    <w:sig w:usb0="E0000AFF" w:usb1="00007843" w:usb2="00000001" w:usb3="00000000" w:csb0="400001BF" w:csb1="DFF70000"/>
  </w:font>
  <w:font w:name="Times New Roman Regular">
    <w:altName w:val="Times New Roman"/>
    <w:charset w:val="00"/>
    <w:family w:val="roman"/>
    <w:pitch w:val="default"/>
    <w:sig w:usb0="E0000AFF" w:usb1="00007843" w:usb2="00000001" w:usb3="00000000" w:csb0="400001BF" w:csb1="DFF70000"/>
  </w:font>
  <w:font w:name="Times New Roman Italic">
    <w:panose1 w:val="02020503050405090304"/>
    <w:charset w:val="00"/>
    <w:family w:val="roman"/>
    <w:pitch w:val="default"/>
    <w:sig w:usb0="E0000AFF" w:usb1="00007843" w:usb2="00000001" w:usb3="00000000" w:csb0="400001BF" w:csb1="DFF7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61A69"/>
    <w:multiLevelType w:val="multilevel"/>
    <w:tmpl w:val="B7664590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B2173DC"/>
    <w:multiLevelType w:val="hybridMultilevel"/>
    <w:tmpl w:val="184EDD5C"/>
    <w:lvl w:ilvl="0" w:tplc="6C4ADA66">
      <w:start w:val="1"/>
      <w:numFmt w:val="decimal"/>
      <w:lvlRestart w:val="0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0"/>
  </w:num>
  <w:num w:numId="14">
    <w:abstractNumId w:val="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AE0"/>
    <w:rsid w:val="000707FD"/>
    <w:rsid w:val="00122AE0"/>
    <w:rsid w:val="001B4B87"/>
    <w:rsid w:val="00571281"/>
    <w:rsid w:val="005C2315"/>
    <w:rsid w:val="0066128C"/>
    <w:rsid w:val="00701096"/>
    <w:rsid w:val="007863C5"/>
    <w:rsid w:val="0080688F"/>
    <w:rsid w:val="00825ADE"/>
    <w:rsid w:val="008F6590"/>
    <w:rsid w:val="00941BB1"/>
    <w:rsid w:val="00A73E39"/>
    <w:rsid w:val="00A74568"/>
    <w:rsid w:val="00B41233"/>
    <w:rsid w:val="00B81A73"/>
    <w:rsid w:val="00C92D0C"/>
    <w:rsid w:val="00DB5C28"/>
    <w:rsid w:val="00E12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66184"/>
  <w15:chartTrackingRefBased/>
  <w15:docId w15:val="{93D106E2-0859-4A8F-A999-210379C4D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1" w:qFormat="1"/>
    <w:lsdException w:name="heading 2" w:semiHidden="1" w:uiPriority="11" w:unhideWhenUsed="1" w:qFormat="1"/>
    <w:lsdException w:name="heading 3" w:semiHidden="1" w:uiPriority="1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 w:uiPriority="20" w:unhideWhenUsed="1" w:qFormat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 w:uiPriority="22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1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0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 w:qFormat="1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1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rsid w:val="00B81A73"/>
    <w:pPr>
      <w:widowControl w:val="0"/>
      <w:ind w:firstLineChars="200" w:firstLine="200"/>
      <w:jc w:val="both"/>
    </w:pPr>
    <w:rPr>
      <w:rFonts w:ascii="Times New Roman" w:eastAsia="Times New Roman" w:hAnsi="Times New Roman" w:cs="Times New Roman"/>
      <w:szCs w:val="21"/>
    </w:rPr>
  </w:style>
  <w:style w:type="paragraph" w:styleId="1">
    <w:name w:val="heading 1"/>
    <w:aliases w:val="Heading level 1"/>
    <w:basedOn w:val="a"/>
    <w:next w:val="a"/>
    <w:link w:val="10"/>
    <w:uiPriority w:val="11"/>
    <w:qFormat/>
    <w:rsid w:val="00122AE0"/>
    <w:pPr>
      <w:keepNext/>
      <w:keepLines/>
      <w:widowControl/>
      <w:adjustRightInd w:val="0"/>
      <w:snapToGrid w:val="0"/>
      <w:spacing w:before="360" w:after="360"/>
      <w:ind w:firstLineChars="0" w:firstLine="0"/>
      <w:outlineLvl w:val="0"/>
    </w:pPr>
    <w:rPr>
      <w:b/>
      <w:bCs/>
      <w:noProof/>
      <w:color w:val="000000"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0"/>
    <w:uiPriority w:val="11"/>
    <w:qFormat/>
    <w:rsid w:val="00122AE0"/>
    <w:pPr>
      <w:keepNext/>
      <w:keepLines/>
      <w:widowControl/>
      <w:adjustRightInd w:val="0"/>
      <w:snapToGrid w:val="0"/>
      <w:spacing w:before="240" w:after="240"/>
      <w:ind w:firstLineChars="0" w:firstLine="0"/>
      <w:outlineLvl w:val="1"/>
    </w:pPr>
    <w:rPr>
      <w:b/>
      <w:bCs/>
      <w:i/>
      <w:noProof/>
      <w:color w:val="000000"/>
      <w:kern w:val="0"/>
    </w:rPr>
  </w:style>
  <w:style w:type="paragraph" w:styleId="3">
    <w:name w:val="heading 3"/>
    <w:aliases w:val="Heading level 3"/>
    <w:basedOn w:val="a"/>
    <w:next w:val="a"/>
    <w:link w:val="30"/>
    <w:uiPriority w:val="11"/>
    <w:qFormat/>
    <w:rsid w:val="00122AE0"/>
    <w:pPr>
      <w:keepNext/>
      <w:keepLines/>
      <w:widowControl/>
      <w:adjustRightInd w:val="0"/>
      <w:snapToGrid w:val="0"/>
      <w:spacing w:before="160" w:after="160"/>
      <w:ind w:firstLineChars="0" w:firstLine="0"/>
      <w:outlineLvl w:val="2"/>
    </w:pPr>
    <w:rPr>
      <w:bCs/>
      <w:i/>
      <w:noProof/>
      <w:color w:val="000000"/>
      <w:kern w:val="0"/>
    </w:rPr>
  </w:style>
  <w:style w:type="paragraph" w:styleId="4">
    <w:name w:val="heading 4"/>
    <w:basedOn w:val="a"/>
    <w:next w:val="a"/>
    <w:link w:val="40"/>
    <w:uiPriority w:val="9"/>
    <w:semiHidden/>
    <w:qFormat/>
    <w:rsid w:val="00B81A73"/>
    <w:pPr>
      <w:keepNext/>
      <w:keepLines/>
      <w:spacing w:before="280" w:after="290" w:line="376" w:lineRule="auto"/>
      <w:ind w:firstLine="320"/>
      <w:outlineLvl w:val="3"/>
    </w:pPr>
    <w:rPr>
      <w:rFonts w:ascii="Calibri Light" w:eastAsia="NimbusRomNo9L" w:hAnsi="Calibri Light" w:cs="NimbusRomNo9L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66128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qFormat/>
    <w:rsid w:val="00B81A73"/>
    <w:pPr>
      <w:keepNext/>
      <w:keepLines/>
      <w:numPr>
        <w:ilvl w:val="5"/>
        <w:numId w:val="12"/>
      </w:numPr>
      <w:spacing w:before="240" w:after="64" w:line="320" w:lineRule="auto"/>
      <w:ind w:firstLineChars="0" w:firstLine="0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qFormat/>
    <w:rsid w:val="00B81A73"/>
    <w:pPr>
      <w:keepNext/>
      <w:keepLines/>
      <w:numPr>
        <w:ilvl w:val="6"/>
        <w:numId w:val="12"/>
      </w:numPr>
      <w:spacing w:before="240" w:after="64" w:line="320" w:lineRule="auto"/>
      <w:ind w:firstLineChars="0" w:firstLine="0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B81A73"/>
    <w:pPr>
      <w:keepNext/>
      <w:keepLines/>
      <w:numPr>
        <w:ilvl w:val="7"/>
        <w:numId w:val="12"/>
      </w:numPr>
      <w:spacing w:before="240" w:after="64" w:line="320" w:lineRule="auto"/>
      <w:ind w:firstLineChars="0" w:firstLine="0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B81A73"/>
    <w:pPr>
      <w:keepNext/>
      <w:keepLines/>
      <w:numPr>
        <w:ilvl w:val="8"/>
        <w:numId w:val="12"/>
      </w:numPr>
      <w:spacing w:before="240" w:after="64" w:line="320" w:lineRule="auto"/>
      <w:ind w:firstLineChars="0" w:firstLine="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eading level 1 字符"/>
    <w:basedOn w:val="a0"/>
    <w:link w:val="1"/>
    <w:uiPriority w:val="11"/>
    <w:rsid w:val="00122AE0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11"/>
    <w:rsid w:val="00122AE0"/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11"/>
    <w:rsid w:val="00122AE0"/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character" w:customStyle="1" w:styleId="40">
    <w:name w:val="标题 4 字符"/>
    <w:link w:val="4"/>
    <w:uiPriority w:val="9"/>
    <w:semiHidden/>
    <w:rsid w:val="00122AE0"/>
    <w:rPr>
      <w:rFonts w:ascii="Calibri Light" w:eastAsia="NimbusRomNo9L" w:hAnsi="Calibri Light" w:cs="NimbusRomNo9L"/>
      <w:b/>
      <w:bCs/>
      <w:kern w:val="0"/>
      <w:sz w:val="28"/>
      <w:szCs w:val="28"/>
    </w:rPr>
  </w:style>
  <w:style w:type="character" w:customStyle="1" w:styleId="50">
    <w:name w:val="标题 5 字符"/>
    <w:link w:val="5"/>
    <w:uiPriority w:val="9"/>
    <w:semiHidden/>
    <w:rsid w:val="00122AE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122AE0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sid w:val="00122AE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122AE0"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122AE0"/>
    <w:rPr>
      <w:rFonts w:asciiTheme="majorHAnsi" w:eastAsiaTheme="majorEastAsia" w:hAnsiTheme="majorHAnsi" w:cstheme="majorBidi"/>
      <w:szCs w:val="21"/>
    </w:rPr>
  </w:style>
  <w:style w:type="paragraph" w:customStyle="1" w:styleId="Abstract">
    <w:name w:val="Abstract"/>
    <w:next w:val="a"/>
    <w:uiPriority w:val="9"/>
    <w:qFormat/>
    <w:rsid w:val="00122AE0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cademiceditor">
    <w:name w:val="Academic editor"/>
    <w:uiPriority w:val="6"/>
    <w:qFormat/>
    <w:rsid w:val="00122AE0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122AE0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122AE0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Articletype">
    <w:name w:val="Article type"/>
    <w:next w:val="a"/>
    <w:qFormat/>
    <w:rsid w:val="00122AE0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Authornames">
    <w:name w:val="Authornames"/>
    <w:next w:val="a"/>
    <w:uiPriority w:val="2"/>
    <w:qFormat/>
    <w:rsid w:val="00122AE0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122AE0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ackmattertext">
    <w:name w:val="Back matter text"/>
    <w:link w:val="Backmattertext0"/>
    <w:uiPriority w:val="19"/>
    <w:qFormat/>
    <w:rsid w:val="00122AE0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character" w:customStyle="1" w:styleId="Backmattertext0">
    <w:name w:val="Back matter text 字符"/>
    <w:basedOn w:val="a0"/>
    <w:link w:val="Backmattertext"/>
    <w:uiPriority w:val="19"/>
    <w:rsid w:val="00122AE0"/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paragraph" w:customStyle="1" w:styleId="E-mail">
    <w:name w:val="E-mail"/>
    <w:link w:val="E-mail0"/>
    <w:uiPriority w:val="5"/>
    <w:qFormat/>
    <w:rsid w:val="00122AE0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5"/>
    <w:rsid w:val="00122AE0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Equation">
    <w:name w:val="Equation"/>
    <w:uiPriority w:val="17"/>
    <w:qFormat/>
    <w:rsid w:val="00122AE0"/>
    <w:pPr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">
    <w:name w:val="Figure"/>
    <w:uiPriority w:val="16"/>
    <w:qFormat/>
    <w:rsid w:val="00122AE0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caption">
    <w:name w:val="Figure caption"/>
    <w:uiPriority w:val="16"/>
    <w:qFormat/>
    <w:rsid w:val="00122AE0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Frontmatter">
    <w:name w:val="Front matter"/>
    <w:uiPriority w:val="8"/>
    <w:qFormat/>
    <w:rsid w:val="00122AE0"/>
    <w:pPr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lang w:eastAsia="de-DE" w:bidi="en-US"/>
    </w:rPr>
  </w:style>
  <w:style w:type="paragraph" w:customStyle="1" w:styleId="Historytime">
    <w:name w:val="History time"/>
    <w:next w:val="Articletype"/>
    <w:uiPriority w:val="7"/>
    <w:qFormat/>
    <w:rsid w:val="00122AE0"/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Keywords">
    <w:name w:val="Keywords"/>
    <w:next w:val="a"/>
    <w:link w:val="Keywords0"/>
    <w:uiPriority w:val="10"/>
    <w:qFormat/>
    <w:rsid w:val="00122AE0"/>
    <w:pPr>
      <w:adjustRightInd w:val="0"/>
      <w:snapToGrid w:val="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10"/>
    <w:rsid w:val="00122AE0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122AE0"/>
    <w:pPr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122AE0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Tablebody">
    <w:name w:val="Table body"/>
    <w:uiPriority w:val="13"/>
    <w:qFormat/>
    <w:rsid w:val="00122AE0"/>
    <w:pPr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Tablecaption">
    <w:name w:val="Table caption"/>
    <w:uiPriority w:val="14"/>
    <w:qFormat/>
    <w:rsid w:val="00122AE0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4"/>
      <w:lang w:bidi="en-US"/>
    </w:rPr>
  </w:style>
  <w:style w:type="paragraph" w:customStyle="1" w:styleId="Tablefooter">
    <w:name w:val="Table footer"/>
    <w:next w:val="a"/>
    <w:uiPriority w:val="15"/>
    <w:qFormat/>
    <w:rsid w:val="00122AE0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Text">
    <w:name w:val="Text"/>
    <w:link w:val="Text0"/>
    <w:uiPriority w:val="12"/>
    <w:qFormat/>
    <w:rsid w:val="00122AE0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2"/>
    <w:rsid w:val="00122AE0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paragraph" w:styleId="a3">
    <w:name w:val="annotation text"/>
    <w:aliases w:val="Comment Text"/>
    <w:basedOn w:val="a"/>
    <w:link w:val="a4"/>
    <w:uiPriority w:val="20"/>
    <w:qFormat/>
    <w:rsid w:val="00122AE0"/>
    <w:pPr>
      <w:widowControl/>
      <w:adjustRightInd w:val="0"/>
      <w:snapToGrid w:val="0"/>
      <w:ind w:firstLineChars="0" w:firstLine="0"/>
      <w:jc w:val="left"/>
    </w:pPr>
    <w:rPr>
      <w:kern w:val="0"/>
      <w:lang w:val="es-ES" w:eastAsia="es-ES"/>
    </w:rPr>
  </w:style>
  <w:style w:type="character" w:customStyle="1" w:styleId="a4">
    <w:name w:val="批注文字 字符"/>
    <w:aliases w:val="Comment Text 字符"/>
    <w:basedOn w:val="a0"/>
    <w:link w:val="a3"/>
    <w:uiPriority w:val="20"/>
    <w:qFormat/>
    <w:rsid w:val="00122AE0"/>
    <w:rPr>
      <w:rFonts w:ascii="Times New Roman" w:eastAsia="Times New Roman" w:hAnsi="Times New Roman" w:cs="Times New Roman"/>
      <w:kern w:val="0"/>
      <w:szCs w:val="21"/>
      <w:lang w:val="es-ES" w:eastAsia="es-ES"/>
    </w:rPr>
  </w:style>
  <w:style w:type="character" w:styleId="a5">
    <w:name w:val="Strong"/>
    <w:basedOn w:val="a0"/>
    <w:semiHidden/>
    <w:qFormat/>
    <w:rsid w:val="00122AE0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211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cheryl</dc:creator>
  <cp:keywords/>
  <dc:description/>
  <cp:lastModifiedBy>cheryl</cp:lastModifiedBy>
  <cp:revision>1</cp:revision>
  <dcterms:created xsi:type="dcterms:W3CDTF">2026-03-20T03:07:00Z</dcterms:created>
  <dcterms:modified xsi:type="dcterms:W3CDTF">2026-03-20T03:16:00Z</dcterms:modified>
</cp:coreProperties>
</file>